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ResumeName"/>
        <w:widowControl/>
        <w:spacing w:after="20"/>
        <w:jc w:val="center"/>
      </w:pPr>
      <w:r>
        <w:t>Connor Snitker</w:t>
      </w:r>
    </w:p>
    <w:p>
      <w:pPr>
        <w:pStyle w:val="ResumeSmall"/>
        <w:spacing w:after="100"/>
        <w:jc w:val="center"/>
        <w:widowControl/>
        <w:pBdr>
          <w:bottom w:val="single" w:sz="6" w:space="3" w:color="666666"/>
        </w:pBdr>
      </w:pPr>
      <w:r>
        <w:rPr>
          <w:sz w:val="18"/>
        </w:rPr>
        <w:t>connor@snitker.dev  |  snitker.dev  |  GitHub: csnitker / csnitker-GoDaddy</w:t>
      </w:r>
    </w:p>
    <w:p>
      <w:pPr>
        <w:pStyle w:val="ResumeSection"/>
        <w:widowControl/>
        <w:pBdr>
          <w:bottom w:val="single" w:sz="5" w:space="2" w:color="666666"/>
        </w:pBdr>
      </w:pPr>
      <w:r>
        <w:rPr>
          <w:b/>
        </w:rPr>
        <w:t>PROFESSIONAL SUMMARY</w:t>
      </w:r>
    </w:p>
    <w:p>
      <w:pPr>
        <w:widowControl/>
        <w:spacing w:after="80"/>
      </w:pPr>
      <w:r>
        <w:t>Principal Engineer and internet systems/security architect with 14+ years building and operating critical infrastructure at GoDaddy. Deep foundation in TCP/IP, sockets, DNS, HTTP/TLS, Linux, concurrent programming, distributed systems, multi-region services, containers, PKI, performance, and production reliability. Lead architect for GoDaddy's RDAP/WHOIS platform and lead architecture, specification, and open-source engineering for Agent Name Service (ANS), applying that systems depth to autonomous-agent identity, verifiable trust, and enforceable safeguards.</w:t>
      </w:r>
    </w:p>
    <w:p>
      <w:pPr>
        <w:widowControl/>
        <w:spacing w:after="80"/>
      </w:pPr>
      <w:r>
        <w:rPr>
          <w:b/>
        </w:rPr>
        <w:t>Core focus: Internet &amp; systems architecture · Security infrastructure · Distributed systems · Agent identity &amp; safeguards · Protocols &amp; standards</w:t>
      </w:r>
      <w:r/>
    </w:p>
    <w:p>
      <w:pPr>
        <w:pStyle w:val="ResumeSection"/>
        <w:widowControl/>
        <w:pBdr>
          <w:bottom w:val="single" w:sz="5" w:space="2" w:color="666666"/>
        </w:pBdr>
      </w:pPr>
      <w:r>
        <w:rPr>
          <w:b/>
        </w:rPr>
        <w:t>EXPERIENCE</w:t>
      </w:r>
    </w:p>
    <w:p>
      <w:pPr>
        <w:pStyle w:val="ResumeCompany"/>
        <w:widowControl/>
        <w:spacing w:after="20"/>
      </w:pPr>
      <w:r>
        <w:rPr>
          <w:b/>
        </w:rPr>
        <w:t>GoDaddy, LLC</w:t>
      </w:r>
      <w:r>
        <w:rPr>
          <w:b w:val="0"/>
          <w:sz w:val="18"/>
        </w:rPr>
      </w:r>
    </w:p>
    <w:tbl>
      <w:tblPr>
        <w:tblW w:type="auto" w:w="0"/>
        <w:jc w:val="left"/>
        <w:tblLayout w:type="fixed"/>
        <w:tblLook w:firstColumn="1" w:firstRow="1" w:lastColumn="0" w:lastRow="0" w:noHBand="0" w:noVBand="1" w:val="04A0"/>
        <w:tblBorders>
          <w:top w:val="nil"/>
          <w:left w:val="nil"/>
          <w:bottom w:val="nil"/>
          <w:right w:val="nil"/>
          <w:insideH w:val="nil"/>
          <w:insideV w:val="nil"/>
        </w:tblBorders>
      </w:tblPr>
      <w:tblGrid>
        <w:gridCol w:w="8568"/>
        <w:gridCol w:w="2160"/>
      </w:tblGrid>
      <w:tr>
        <w:tc>
          <w:tcPr>
            <w:tcW w:type="dxa" w:w="8568"/>
            <w:vAlign w:val="top"/>
          </w:tcPr>
          <w:p>
            <w:pPr>
              <w:pStyle w:val="ResumeRole"/>
            </w:pPr>
            <w:r>
              <w:rPr>
                <w:b/>
                <w:i/>
              </w:rPr>
              <w:t>Principal Engineer – Agent Name Service, Domains &amp; Security Architecture</w:t>
            </w:r>
          </w:p>
        </w:tc>
        <w:tc>
          <w:tcPr>
            <w:tcW w:type="dxa" w:w="2160"/>
            <w:vAlign w:val="top"/>
          </w:tcPr>
          <w:p>
            <w:pPr>
              <w:pStyle w:val="ResumeSmall"/>
              <w:jc w:val="right"/>
            </w:pPr>
            <w:r>
              <w:rPr>
                <w:i/>
              </w:rPr>
              <w:t>2016 – Present</w:t>
            </w:r>
          </w:p>
        </w:tc>
      </w:tr>
    </w:tbl>
    <w:p>
      <w:pPr>
        <w:pStyle w:val="ResumeSmall"/>
        <w:widowControl/>
        <w:spacing w:after="60"/>
      </w:pPr>
      <w:r>
        <w:rPr>
          <w:i/>
        </w:rPr>
        <w:t>Promoted through Software Engineer III, IV, and V to Principal Engineer.</w:t>
      </w:r>
    </w:p>
    <w:p>
      <w:pPr>
        <w:widowControl/>
        <w:spacing w:after="32"/>
        <w:ind w:left="288" w:hanging="187"/>
      </w:pPr>
      <w:r>
        <w:t>•  Lead architect and specification driver for Agent Name Service (ANS), defining core registration, identity, discovery, PKI, transparency-log, and verification semantics across the public specification, reference Registration Authority and Transparency Log, and client SDKs.</w:t>
      </w:r>
      <w:r/>
    </w:p>
    <w:p>
      <w:pPr>
        <w:widowControl/>
        <w:spacing w:after="32"/>
        <w:ind w:left="288" w:hanging="187"/>
      </w:pPr>
      <w:r>
        <w:t>•  Designed the ANS Registration Authority architecture and API contract; authored GoDaddy's Transparency Log implementation and the public HCS-27 ANS Transparency Log Checkpoints specification, defining append-only, cryptographically verifiable state and checkpoint semantics.</w:t>
      </w:r>
      <w:r/>
    </w:p>
    <w:p>
      <w:pPr>
        <w:widowControl/>
        <w:spacing w:after="32"/>
        <w:ind w:left="288" w:hanging="187"/>
      </w:pPr>
      <w:r>
        <w:t>•  Lead the public ANS open-source effort across the reference implementation, normative specifications, and SDKs, driving specification/implementation alignment, technical direction, conformance, release readiness, and the Linux Foundation intent-to-donate process.</w:t>
      </w:r>
      <w:r/>
    </w:p>
    <w:p>
      <w:pPr>
        <w:widowControl/>
        <w:spacing w:after="32"/>
        <w:ind w:left="288" w:hanging="187"/>
      </w:pPr>
      <w:r>
        <w:t>•  Built security-critical ANS controls including proof-of-control identities (did:web / did:key), challenge-bound JWS verification, replay and TOCTOU protections, fail-closed seal-before-success state transitions, revocation semantics, and independently verifiable Merkle-log evidence.</w:t>
      </w:r>
      <w:r/>
    </w:p>
    <w:p>
      <w:pPr>
        <w:widowControl/>
        <w:spacing w:after="32"/>
        <w:ind w:left="288" w:hanging="187"/>
      </w:pPr>
      <w:r>
        <w:t>•  Designed PKI and certificate-lifecycle architecture spanning private identity certificates and RFC 8555 ACME-compatible server issuance; applied X.509, TLS, DNS-01 / HTTP-01 validation, external issuer abstractions, key lifecycle, revocation semantics, and fail-closed behavior.</w:t>
      </w:r>
      <w:r/>
    </w:p>
    <w:p>
      <w:pPr>
        <w:widowControl/>
        <w:spacing w:after="32"/>
        <w:ind w:left="288" w:hanging="187"/>
      </w:pPr>
      <w:r>
        <w:t>•  Lead architect for GoDaddy's authoritative RDAP/WHOIS platform across its registrar portfolio, owning protocol architecture, multi-region delivery, distributed state, reliability, operability, and long-term evolution.</w:t>
      </w:r>
      <w:r/>
    </w:p>
    <w:p>
      <w:pPr>
        <w:widowControl/>
        <w:spacing w:after="32"/>
        <w:ind w:left="288" w:hanging="187"/>
      </w:pPr>
      <w:r>
        <w:t>•  Lead engineer on GoDaddy's Domains API and broader registrar platform, architecting high-throughput networked services spanning DNS, EPP, HTTP/TLS, PKI, TLD lifecycle, fulfillment, and registry/registrar integrations.</w:t>
      </w:r>
      <w:r/>
    </w:p>
    <w:p>
      <w:pPr>
        <w:widowControl/>
        <w:spacing w:after="32"/>
        <w:ind w:left="288" w:hanging="187"/>
      </w:pPr>
      <w:r>
        <w:t xml:space="preserve">•  </w:t>
      </w:r>
      <w:r>
        <w:t>Led technical implementation of GDPR requirements across GoDaddy registrar systems, translating legal/privacy constraints into production architecture and protocol behavior.</w:t>
      </w:r>
    </w:p>
    <w:p>
      <w:pPr>
        <w:widowControl/>
        <w:spacing w:after="32"/>
        <w:ind w:left="288" w:hanging="187"/>
      </w:pPr>
      <w:r>
        <w:t>•  Architected and launched concurrent, globally distributed domain-registration data APIs in Go across Linux, containers, and multi-region cloud infrastructure, improving worldwide performance, resilience, observability, and infrastructure efficiency.</w:t>
      </w:r>
      <w:r/>
    </w:p>
    <w:p>
      <w:pPr>
        <w:widowControl/>
        <w:spacing w:after="32"/>
        <w:ind w:left="288" w:hanging="187"/>
      </w:pPr>
      <w:r>
        <w:t xml:space="preserve">•  </w:t>
      </w:r>
      <w:r>
        <w:t>Serve as a company security certifier/reviewer for architecture and production systems, covering threat modeling, authentication/authorization patterns, sensitive-data handling, cryptographic controls, and security readiness.</w:t>
      </w:r>
    </w:p>
    <w:p>
      <w:pPr>
        <w:widowControl/>
        <w:spacing w:after="32"/>
        <w:ind w:left="288" w:hanging="187"/>
      </w:pPr>
      <w:r>
        <w:t xml:space="preserve">•  </w:t>
      </w:r>
      <w:r>
        <w:t>Architected a secure-memory and encryption library in Go for sensitive workloads in public cloud environments; adopted as an internal engineering standard.</w:t>
      </w:r>
    </w:p>
    <w:p>
      <w:pPr>
        <w:widowControl/>
        <w:spacing w:after="32"/>
        <w:ind w:left="288" w:hanging="187"/>
      </w:pPr>
      <w:r>
        <w:t xml:space="preserve">•  </w:t>
      </w:r>
      <w:r>
        <w:t>Serve on GoDaddy's Domains Architecture Review Committee and Tools Tech Radar, as a Cloud Readiness Reviewer, security certifier, and core-technology interviewer, evaluating architecture, technology adoption, production readiness, and senior engineering candidates.</w:t>
      </w:r>
    </w:p>
    <w:tbl>
      <w:tblPr>
        <w:tblW w:type="auto" w:w="0"/>
        <w:jc w:val="left"/>
        <w:tblLayout w:type="fixed"/>
        <w:tblLook w:firstColumn="1" w:firstRow="1" w:lastColumn="0" w:lastRow="0" w:noHBand="0" w:noVBand="1" w:val="04A0"/>
        <w:tblBorders>
          <w:top w:val="nil"/>
          <w:left w:val="nil"/>
          <w:bottom w:val="nil"/>
          <w:right w:val="nil"/>
          <w:insideH w:val="nil"/>
          <w:insideV w:val="nil"/>
        </w:tblBorders>
      </w:tblPr>
      <w:tblGrid>
        <w:gridCol w:w="8568"/>
        <w:gridCol w:w="2160"/>
      </w:tblGrid>
      <w:tr>
        <w:tc>
          <w:tcPr>
            <w:tcW w:type="dxa" w:w="8568"/>
            <w:vAlign w:val="top"/>
          </w:tcPr>
          <w:p>
            <w:pPr>
              <w:pStyle w:val="ResumeRole"/>
            </w:pPr>
            <w:r>
              <w:rPr>
                <w:b/>
                <w:i/>
              </w:rPr>
              <w:t>Software Engineer I &amp; II – Registrar Services / TLDs</w:t>
            </w:r>
          </w:p>
        </w:tc>
        <w:tc>
          <w:tcPr>
            <w:tcW w:type="dxa" w:w="2160"/>
            <w:vAlign w:val="top"/>
          </w:tcPr>
          <w:p>
            <w:pPr>
              <w:pStyle w:val="ResumeSmall"/>
              <w:jc w:val="right"/>
            </w:pPr>
            <w:r>
              <w:rPr>
                <w:i/>
              </w:rPr>
              <w:t>2015 – 2016</w:t>
            </w:r>
          </w:p>
        </w:tc>
      </w:tr>
    </w:tbl>
    <w:p>
      <w:pPr>
        <w:widowControl/>
        <w:spacing w:after="32"/>
        <w:ind w:left="288" w:hanging="187"/>
      </w:pPr>
      <w:r>
        <w:t>•  Built foundational registrar services and integrations across Java, C#, and C++; engineered a high-performance contact API and introduced the department's first production CI/CD and container workflow using SaltStack and Docker.</w:t>
      </w:r>
      <w:r/>
    </w:p>
    <w:tbl>
      <w:tblPr>
        <w:tblW w:type="auto" w:w="0"/>
        <w:jc w:val="left"/>
        <w:tblLayout w:type="fixed"/>
        <w:tblLook w:firstColumn="1" w:firstRow="1" w:lastColumn="0" w:lastRow="0" w:noHBand="0" w:noVBand="1" w:val="04A0"/>
        <w:tblBorders>
          <w:top w:val="nil"/>
          <w:left w:val="nil"/>
          <w:bottom w:val="nil"/>
          <w:right w:val="nil"/>
          <w:insideH w:val="nil"/>
          <w:insideV w:val="nil"/>
        </w:tblBorders>
      </w:tblPr>
      <w:tblGrid>
        <w:gridCol w:w="8568"/>
        <w:gridCol w:w="2160"/>
      </w:tblGrid>
      <w:tr>
        <w:tc>
          <w:tcPr>
            <w:tcW w:type="dxa" w:w="8568"/>
            <w:vAlign w:val="top"/>
          </w:tcPr>
          <w:p>
            <w:pPr>
              <w:pStyle w:val="ResumeRole"/>
            </w:pPr>
            <w:r>
              <w:rPr>
                <w:b/>
                <w:i/>
              </w:rPr>
              <w:t>Hosting Support / Internal Tools Administrator</w:t>
            </w:r>
          </w:p>
        </w:tc>
        <w:tc>
          <w:tcPr>
            <w:tcW w:type="dxa" w:w="2160"/>
            <w:vAlign w:val="top"/>
          </w:tcPr>
          <w:p>
            <w:pPr>
              <w:pStyle w:val="ResumeSmall"/>
              <w:jc w:val="right"/>
            </w:pPr>
            <w:r>
              <w:rPr>
                <w:i/>
              </w:rPr>
              <w:t>2012 – 2015</w:t>
            </w:r>
          </w:p>
        </w:tc>
      </w:tr>
    </w:tbl>
    <w:p>
      <w:pPr>
        <w:widowControl/>
        <w:spacing w:after="32"/>
        <w:ind w:left="288" w:hanging="187"/>
      </w:pPr>
      <w:r>
        <w:t>•  Built production internal APIs and automation while developing a systems foundation in TCP/IP, DNS, HTTP/TLS, Linux and Windows hosting, OS-level troubleshooting, capacity, incident response, and high-volume production operations.</w:t>
      </w:r>
      <w:r/>
    </w:p>
    <w:p>
      <w:pPr>
        <w:widowControl/>
      </w:pPr>
      <w:r>
        <w:br w:type="page"/>
      </w:r>
    </w:p>
    <w:p>
      <w:pPr>
        <w:pStyle w:val="ResumeSection"/>
        <w:widowControl/>
        <w:pBdr>
          <w:bottom w:val="single" w:sz="5" w:space="2" w:color="666666"/>
        </w:pBdr>
      </w:pPr>
      <w:r>
        <w:rPr>
          <w:b/>
        </w:rPr>
        <w:t>PROTOCOL, OPEN SOURCE &amp; STANDARDS LEADERSHIP</w:t>
      </w:r>
    </w:p>
    <w:p>
      <w:pPr>
        <w:widowControl/>
        <w:spacing w:after="32"/>
        <w:ind w:left="288" w:hanging="187"/>
      </w:pPr>
      <w:r>
        <w:t>•  Drive the ANS protocol and normative specification through public review and implementation alignment across ans-registry, the Go reference implementation, and Rust/Go SDKs; translate architectural decisions into interoperable wire contracts, conformance behavior, and reference implementations.</w:t>
      </w:r>
      <w:r/>
    </w:p>
    <w:p>
      <w:pPr>
        <w:widowControl/>
        <w:spacing w:after="32"/>
        <w:ind w:left="288" w:hanging="187"/>
      </w:pPr>
      <w:r>
        <w:t>•  Author of the HCS-14 ANS Resolution via Web &amp; DNS profile and HCS-27 ANS Transparency Log Checkpoints specification, standardizing DNS-based agent resolution and independently verifiable transparency / Merkle-proof semantics.</w:t>
      </w:r>
      <w:r/>
    </w:p>
    <w:p>
      <w:pPr>
        <w:widowControl/>
        <w:spacing w:after="32"/>
        <w:ind w:left="288" w:hanging="187"/>
      </w:pPr>
      <w:r>
        <w:t>•  IETF participant in REGEXT; acknowledged for feedback and technical discussion in the DNS-AID Internet-Draft. Participate more broadly in ICANN, Linux Foundation/LFDT, and registrar/registry standards communities.</w:t>
      </w:r>
      <w:r/>
    </w:p>
    <w:p>
      <w:pPr>
        <w:widowControl/>
        <w:spacing w:after="32"/>
        <w:ind w:left="288" w:hanging="187"/>
      </w:pPr>
      <w:r>
        <w:t>•  Lead ANS open-source governance/readiness work for Linux Foundation donation and participate directly in Agentic AI Foundation (AAIF) technical meetings and working groups, bringing Internet naming, DNS, PKI, security, and interoperability experience into the broader open-agent infrastructure ecosystem.</w:t>
      </w:r>
      <w:r/>
    </w:p>
    <w:p>
      <w:pPr>
        <w:widowControl/>
        <w:spacing w:after="32"/>
        <w:ind w:left="288" w:hanging="187"/>
      </w:pPr>
      <w:r>
        <w:t>•  Speaker at Rare Evo 2026; participant in a Linux Foundation/LFDT discussion on ANS open governance; and guest on a Genfinity podcast with GoDaddy engineering leadership discussing agent identity, transparency, and open trust infrastructure.</w:t>
      </w:r>
      <w:r/>
    </w:p>
    <w:p>
      <w:pPr>
        <w:pStyle w:val="ResumeSection"/>
        <w:widowControl/>
        <w:pBdr>
          <w:bottom w:val="single" w:sz="5" w:space="2" w:color="666666"/>
        </w:pBdr>
      </w:pPr>
      <w:r>
        <w:rPr>
          <w:b/>
        </w:rPr>
        <w:t>SELECTED TECHNICAL IMPACT</w:t>
      </w:r>
    </w:p>
    <w:p>
      <w:pPr>
        <w:widowControl/>
        <w:spacing w:after="32"/>
        <w:ind w:left="288" w:hanging="187"/>
      </w:pPr>
      <w:r>
        <w:t>•  Internet protocols &amp; infrastructure: TCP/IP, sockets, DNS, HTTP/TLS, RDAP, WHOIS, EPP, registrar/registry systems, TLD lifecycle, authoritative registration data, domain ownership, and validation.</w:t>
      </w:r>
      <w:r/>
    </w:p>
    <w:p>
      <w:pPr>
        <w:widowControl/>
        <w:spacing w:after="32"/>
        <w:ind w:left="288" w:hanging="187"/>
      </w:pPr>
      <w:r>
        <w:t>•  Systems engineering: Linux and operating-system fundamentals, concurrent programming, synchronization, resource management, high-throughput services, containers, networking, profiling, and performance engineering.</w:t>
      </w:r>
      <w:r/>
    </w:p>
    <w:p>
      <w:pPr>
        <w:widowControl/>
        <w:spacing w:after="32"/>
        <w:ind w:left="288" w:hanging="187"/>
      </w:pPr>
      <w:r>
        <w:t>•  Distributed systems &amp; operations: multi-region architecture, consistency and state, caching, retries, idempotency, partial failure, failure isolation, backpressure, observability, incident escalation, capacity, and cost/performance tradeoffs.</w:t>
      </w:r>
      <w:r/>
    </w:p>
    <w:p>
      <w:pPr>
        <w:widowControl/>
        <w:spacing w:after="32"/>
        <w:ind w:left="288" w:hanging="187"/>
      </w:pPr>
      <w:r>
        <w:t>•  Security &amp; agent safeguards: PKI/X.509, applied cryptography, authentication/authorization, threat modeling, proof-of-control identity, fail-closed controls, transparency logs, verifiable provenance, protocol interoperability, and agent-facing control-plane design.</w:t>
      </w:r>
      <w:r/>
    </w:p>
    <w:p>
      <w:pPr>
        <w:pStyle w:val="ResumeSection"/>
        <w:widowControl/>
        <w:pBdr>
          <w:bottom w:val="single" w:sz="5" w:space="2" w:color="666666"/>
        </w:pBdr>
      </w:pPr>
      <w:r>
        <w:rPr>
          <w:b/>
        </w:rPr>
        <w:t>TECHNICAL SKILLS</w:t>
      </w:r>
    </w:p>
    <w:p>
      <w:pPr>
        <w:widowControl/>
        <w:spacing w:after="30"/>
      </w:pPr>
      <w:r>
        <w:rPr>
          <w:b/>
        </w:rPr>
        <w:t>Systems Engineering: TCP/IP, sockets, HTTP/TLS, Linux, concurrent programming, distributed state, multi-region architecture, high-throughput services, performance engineering</w:t>
      </w:r>
      <w:r/>
    </w:p>
    <w:p>
      <w:pPr>
        <w:widowControl/>
        <w:spacing w:after="30"/>
      </w:pPr>
      <w:r>
        <w:rPr>
          <w:b/>
        </w:rPr>
        <w:t>Security &amp; Cryptography: PKI/X.509, ACME, applied cryptography, authentication/authorization, proof-of-control identity, JWS/COSE, Merkle transparency, threat modeling, trust boundaries</w:t>
      </w:r>
      <w:r/>
    </w:p>
    <w:p>
      <w:pPr>
        <w:widowControl/>
        <w:spacing w:after="30"/>
      </w:pPr>
      <w:r>
        <w:rPr>
          <w:b/>
        </w:rPr>
        <w:t>Internet Infrastructure &amp; Protocols: DNS, RDAP, WHOIS, EPP, SVCB/HTTPS records, registrar/registry systems, authoritative registration data, protocol interoperability</w:t>
      </w:r>
      <w:r/>
    </w:p>
    <w:p>
      <w:pPr>
        <w:widowControl/>
        <w:spacing w:after="30"/>
      </w:pPr>
      <w:r>
        <w:rPr>
          <w:b/>
        </w:rPr>
        <w:t>Resilience &amp; Operability: partial failure, retries, idempotency, failure isolation, backpressure, caching and state, observability, incident response, capacity planning, cost awareness</w:t>
      </w:r>
      <w:r/>
    </w:p>
    <w:p>
      <w:pPr>
        <w:widowControl/>
        <w:spacing w:after="30"/>
      </w:pPr>
      <w:r>
        <w:rPr>
          <w:b/>
        </w:rPr>
        <w:t>Infrastructure &amp; Delivery: Kubernetes, Docker, OpenStack, Rancher, cloud networking, CI/CD, Jenkins, SaltStack, deployment and release systems</w:t>
      </w:r>
      <w:r/>
    </w:p>
    <w:p>
      <w:pPr>
        <w:widowControl/>
        <w:spacing w:after="30"/>
      </w:pPr>
      <w:r>
        <w:rPr>
          <w:b/>
        </w:rPr>
        <w:t>Languages &amp; Architecture: Go, Rust, Python, C++, Java, C#, JavaScript/TypeScript, Bash; protocol/API design, state machines, migration strategy, technical governance</w:t>
      </w:r>
      <w:r/>
    </w:p>
    <w:sectPr w:rsidR="00FC693F" w:rsidRPr="0006063C" w:rsidSect="00034616">
      <w:pgSz w:w="12240" w:h="15840"/>
      <w:pgMar w:top="749" w:right="893" w:bottom="749"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Name">
    <w:name w:val="Resume Name"/>
    <w:pPr>
      <w:spacing w:after="0"/>
    </w:pPr>
    <w:rPr>
      <w:rFonts w:ascii="Arial" w:hAnsi="Arial"/>
      <w:b/>
      <w:sz w:val="46"/>
    </w:rPr>
  </w:style>
  <w:style w:type="paragraph" w:customStyle="1" w:styleId="ResumeSection">
    <w:name w:val="Resume Section"/>
    <w:pPr>
      <w:spacing w:after="60" w:before="140"/>
    </w:pPr>
    <w:rPr>
      <w:rFonts w:ascii="Arial" w:hAnsi="Arial"/>
      <w:b/>
      <w:sz w:val="24"/>
    </w:rPr>
  </w:style>
  <w:style w:type="paragraph" w:customStyle="1" w:styleId="ResumeCompany">
    <w:name w:val="Resume Company"/>
    <w:pPr>
      <w:spacing w:after="0"/>
    </w:pPr>
    <w:rPr>
      <w:rFonts w:ascii="Arial" w:hAnsi="Arial"/>
      <w:b/>
      <w:sz w:val="21"/>
    </w:rPr>
  </w:style>
  <w:style w:type="paragraph" w:customStyle="1" w:styleId="ResumeRole">
    <w:name w:val="Resume Role"/>
    <w:pPr>
      <w:spacing w:after="0"/>
    </w:pPr>
    <w:rPr>
      <w:rFonts w:ascii="Arial" w:hAnsi="Arial"/>
      <w:b/>
      <w:sz w:val="20"/>
    </w:rPr>
  </w:style>
  <w:style w:type="paragraph" w:customStyle="1" w:styleId="ResumeSmall">
    <w:name w:val="Resume Small"/>
    <w:pPr>
      <w:spacing w:after="0"/>
    </w:pPr>
    <w:rPr>
      <w:rFonts w:ascii="Arial" w:hAnsi="Arial"/>
      <w:b w:val="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Connor Snitker Resume</dc:title>
  <dc:subject>Internet systems, infrastructure security, and agent trust architecture</dc:subject>
  <dc:creator>Connor Snitker</dc:creator>
  <cp:keywords/>
  <dc:description/>
  <cp:lastModifiedBy>Connor Snitker</cp:lastModifiedBy>
  <cp:revision>1</cp:revision>
  <dcterms:created xsi:type="dcterms:W3CDTF">2013-12-23T23:15:00Z</dcterms:created>
  <dcterms:modified xsi:type="dcterms:W3CDTF">2013-12-23T23:15:00Z</dcterms:modified>
  <cp:category/>
</cp:coreProperties>
</file>